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7A178" w14:textId="77777777" w:rsidR="008B077D" w:rsidRPr="008B077D" w:rsidRDefault="008B077D" w:rsidP="008B077D">
      <w:pPr>
        <w:widowControl w:val="0"/>
        <w:pBdr>
          <w:top w:val="nil"/>
          <w:left w:val="nil"/>
          <w:bottom w:val="nil"/>
          <w:right w:val="nil"/>
          <w:between w:val="nil"/>
        </w:pBdr>
        <w:spacing w:before="110"/>
        <w:ind w:left="1752" w:right="1176"/>
        <w:jc w:val="center"/>
        <w:rPr>
          <w:rFonts w:ascii="Times New Roman" w:eastAsia="Times New Roman" w:hAnsi="Times New Roman" w:cs="Times New Roman"/>
          <w:b/>
          <w:bCs/>
          <w:sz w:val="28"/>
          <w:szCs w:val="28"/>
        </w:rPr>
      </w:pPr>
      <w:r w:rsidRPr="008B077D">
        <w:rPr>
          <w:rFonts w:ascii="Times New Roman" w:eastAsia="Times New Roman" w:hAnsi="Times New Roman" w:cs="Times New Roman"/>
          <w:b/>
          <w:bCs/>
          <w:sz w:val="28"/>
          <w:szCs w:val="28"/>
        </w:rPr>
        <w:t xml:space="preserve">ПОРЯДОК реагування на випадки булінгу (цькування) </w:t>
      </w:r>
    </w:p>
    <w:p w14:paraId="475DD76D" w14:textId="77777777" w:rsidR="008B077D" w:rsidRDefault="008B077D" w:rsidP="008B077D">
      <w:pPr>
        <w:widowControl w:val="0"/>
        <w:pBdr>
          <w:top w:val="nil"/>
          <w:left w:val="nil"/>
          <w:bottom w:val="nil"/>
          <w:right w:val="nil"/>
          <w:between w:val="nil"/>
        </w:pBdr>
        <w:spacing w:before="259"/>
        <w:ind w:left="-14" w:right="-427"/>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I. </w:t>
      </w:r>
      <w:r>
        <w:rPr>
          <w:rFonts w:ascii="Times New Roman" w:eastAsia="Times New Roman" w:hAnsi="Times New Roman" w:cs="Times New Roman"/>
          <w:sz w:val="28"/>
          <w:szCs w:val="28"/>
        </w:rPr>
        <w:t xml:space="preserve">Загальні положення </w:t>
      </w:r>
    </w:p>
    <w:p w14:paraId="6A9A36A2" w14:textId="03A47628" w:rsidR="008B077D" w:rsidRDefault="008B077D" w:rsidP="008B077D">
      <w:pPr>
        <w:widowControl w:val="0"/>
        <w:pBdr>
          <w:top w:val="nil"/>
          <w:left w:val="nil"/>
          <w:bottom w:val="nil"/>
          <w:right w:val="nil"/>
          <w:between w:val="nil"/>
        </w:pBdr>
        <w:spacing w:before="259"/>
        <w:ind w:left="-14"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Цей Порядок визначає механізм реагування на випадки булінгу (цькування) в закладах освіти всіх типів і форм власності, крім тих, які забезпечують здобуття</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освіти дорослих, у тому числі післядипломної освіти. </w:t>
      </w:r>
    </w:p>
    <w:p w14:paraId="392ECDFA" w14:textId="575589B6" w:rsidR="008B077D" w:rsidRDefault="008B077D" w:rsidP="008B077D">
      <w:pPr>
        <w:widowControl w:val="0"/>
        <w:pBdr>
          <w:top w:val="nil"/>
          <w:left w:val="nil"/>
          <w:bottom w:val="nil"/>
          <w:right w:val="nil"/>
          <w:between w:val="nil"/>
        </w:pBdr>
        <w:ind w:left="-24" w:right="-427" w:firstLine="58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Звертаємо увагу, що механізм реагування на випадки булінгу поширюється на всі заклади освіти незалежно від типу і форми власності, де здобувають освіту діти (малолітні особи віком до 14 років та/або неповнолітні особи віком від 14 до 18 років), як одна із обов'язкових сторін булінгу (цькування). </w:t>
      </w:r>
    </w:p>
    <w:p w14:paraId="53A0C397" w14:textId="5FB759A0" w:rsidR="008B077D" w:rsidRDefault="008B077D" w:rsidP="008B077D">
      <w:pPr>
        <w:widowControl w:val="0"/>
        <w:pBdr>
          <w:top w:val="nil"/>
          <w:left w:val="nil"/>
          <w:bottom w:val="nil"/>
          <w:right w:val="nil"/>
          <w:between w:val="nil"/>
        </w:pBdr>
        <w:spacing w:before="216"/>
        <w:ind w:right="4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Терміни, використані у цьому </w:t>
      </w:r>
      <w:r>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rPr>
        <w:t xml:space="preserve">орядку, вживаються у таких значеннях: </w:t>
      </w:r>
    </w:p>
    <w:p w14:paraId="597C548A" w14:textId="77777777" w:rsidR="008B077D" w:rsidRDefault="008B077D" w:rsidP="008B077D">
      <w:pPr>
        <w:widowControl w:val="0"/>
        <w:pBdr>
          <w:top w:val="nil"/>
          <w:left w:val="nil"/>
          <w:bottom w:val="nil"/>
          <w:right w:val="nil"/>
          <w:between w:val="nil"/>
        </w:pBdr>
        <w:ind w:left="-52" w:right="-369" w:firstLine="5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кривдник (булер) - учасник освітнього процесу, в тому числі малолітня чи неповнолітня особа, яка вчиняє булінг (цькування) щодо іншого учасника освітнього процесу; </w:t>
      </w:r>
    </w:p>
    <w:p w14:paraId="11C4266D" w14:textId="77777777" w:rsidR="008B077D" w:rsidRDefault="008B077D" w:rsidP="008B077D">
      <w:pPr>
        <w:widowControl w:val="0"/>
        <w:pBdr>
          <w:top w:val="nil"/>
          <w:left w:val="nil"/>
          <w:bottom w:val="nil"/>
          <w:right w:val="nil"/>
          <w:between w:val="nil"/>
        </w:pBdr>
        <w:spacing w:before="4"/>
        <w:ind w:left="-19" w:right="-364" w:firstLine="51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потерпілий (жертва булінгу) - учасник освітнього процесу, в тому числі малолітня чи неповнолітня особа, щодо якої було вчинено булінг (цькування); </w:t>
      </w:r>
    </w:p>
    <w:p w14:paraId="2D02D37A" w14:textId="77777777" w:rsidR="008B077D" w:rsidRDefault="008B077D" w:rsidP="008B077D">
      <w:pPr>
        <w:widowControl w:val="0"/>
        <w:pBdr>
          <w:top w:val="nil"/>
          <w:left w:val="nil"/>
          <w:bottom w:val="nil"/>
          <w:right w:val="nil"/>
          <w:between w:val="nil"/>
        </w:pBdr>
        <w:ind w:left="-81" w:right="-350" w:firstLine="61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спостерігачі - свідки та (або) безпосередні очевидці випадку булінгу (цькування); </w:t>
      </w:r>
    </w:p>
    <w:p w14:paraId="6077CBC8" w14:textId="77777777" w:rsidR="008B077D" w:rsidRDefault="008B077D" w:rsidP="008B077D">
      <w:pPr>
        <w:widowControl w:val="0"/>
        <w:pBdr>
          <w:top w:val="nil"/>
          <w:left w:val="nil"/>
          <w:bottom w:val="nil"/>
          <w:right w:val="nil"/>
          <w:between w:val="nil"/>
        </w:pBdr>
        <w:spacing w:before="4"/>
        <w:ind w:left="-86" w:right="-369" w:firstLine="6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сторони булінгу (цькування) - безпосередні учасники випадку: кривдник (булер), потерпілий (жертва булінгу), спостерігачі (за наявності). </w:t>
      </w:r>
    </w:p>
    <w:p w14:paraId="6ED1970A" w14:textId="77777777" w:rsidR="008B077D" w:rsidRDefault="008B077D" w:rsidP="008B077D">
      <w:pPr>
        <w:widowControl w:val="0"/>
        <w:pBdr>
          <w:top w:val="nil"/>
          <w:left w:val="nil"/>
          <w:bottom w:val="nil"/>
          <w:right w:val="nil"/>
          <w:between w:val="nil"/>
        </w:pBdr>
        <w:spacing w:before="19"/>
        <w:ind w:left="-67" w:right="-379" w:firstLine="57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Інші терміни вживаються у значеннях, наведених у Законах України «Про освіту», «Про соціальні послуги», «Про соціальну роботу з сім'ями, дітьми та молоддю», «Про забезпечення рівних прав та можливостей ясінок і чоловіків», «Про засади запобігання та протидії дискримінації в Україні». </w:t>
      </w:r>
    </w:p>
    <w:p w14:paraId="799C3D3C" w14:textId="77777777" w:rsidR="008B077D" w:rsidRDefault="008B077D" w:rsidP="008B077D">
      <w:pPr>
        <w:widowControl w:val="0"/>
        <w:pBdr>
          <w:top w:val="nil"/>
          <w:left w:val="nil"/>
          <w:bottom w:val="nil"/>
          <w:right w:val="nil"/>
          <w:between w:val="nil"/>
        </w:pBdr>
        <w:spacing w:before="331"/>
        <w:ind w:left="-105" w:right="-3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Проявами, які можуть бути підставами для підозри в наявності випадку булінгу (цькування) учасника освітнього процесу в закладі освіти, є: </w:t>
      </w:r>
    </w:p>
    <w:p w14:paraId="79E6287F" w14:textId="17F64A9C" w:rsidR="008B077D" w:rsidRDefault="008B077D" w:rsidP="008B077D">
      <w:pPr>
        <w:widowControl w:val="0"/>
        <w:pBdr>
          <w:top w:val="nil"/>
          <w:left w:val="nil"/>
          <w:bottom w:val="nil"/>
          <w:right w:val="nil"/>
          <w:between w:val="nil"/>
        </w:pBdr>
        <w:spacing w:before="24"/>
        <w:ind w:left="-52" w:right="-335"/>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замкнутість, тривожність, страх або, навпаки, демонстрація повної відсутності страху, ризикована, зухвала поведінка; </w:t>
      </w:r>
    </w:p>
    <w:p w14:paraId="7FDDBDB7" w14:textId="77777777" w:rsidR="008B077D" w:rsidRDefault="008B077D" w:rsidP="008B077D">
      <w:pPr>
        <w:widowControl w:val="0"/>
        <w:pBdr>
          <w:top w:val="nil"/>
          <w:left w:val="nil"/>
          <w:bottom w:val="nil"/>
          <w:right w:val="nil"/>
          <w:between w:val="nil"/>
        </w:pBdr>
        <w:spacing w:before="24"/>
        <w:ind w:left="38" w:right="2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неврівноважена поведінка;</w:t>
      </w:r>
    </w:p>
    <w:p w14:paraId="623B5E50" w14:textId="77777777" w:rsidR="008B077D" w:rsidRDefault="008B077D" w:rsidP="008B077D">
      <w:pPr>
        <w:widowControl w:val="0"/>
        <w:pBdr>
          <w:top w:val="nil"/>
          <w:left w:val="nil"/>
          <w:bottom w:val="nil"/>
          <w:right w:val="nil"/>
          <w:between w:val="nil"/>
        </w:pBdr>
        <w:spacing w:before="24"/>
        <w:ind w:left="38" w:right="2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агресивність, напади ліоті, схильність до</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руйнації, нищення, насильства;</w:t>
      </w:r>
    </w:p>
    <w:p w14:paraId="0DAC7A2A" w14:textId="7122E1BF" w:rsidR="008B077D" w:rsidRDefault="008B077D" w:rsidP="008B077D">
      <w:pPr>
        <w:widowControl w:val="0"/>
        <w:pBdr>
          <w:top w:val="nil"/>
          <w:left w:val="nil"/>
          <w:bottom w:val="nil"/>
          <w:right w:val="nil"/>
          <w:between w:val="nil"/>
        </w:pBdr>
        <w:spacing w:before="24"/>
        <w:ind w:left="38" w:right="2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різка зміна звичної для дитини поведінки; уповільнене мислення, зн</w:t>
      </w:r>
      <w:r>
        <w:rPr>
          <w:rFonts w:ascii="Times New Roman" w:eastAsia="Times New Roman" w:hAnsi="Times New Roman" w:cs="Times New Roman"/>
          <w:sz w:val="28"/>
          <w:szCs w:val="28"/>
          <w:lang w:val="uk-UA"/>
        </w:rPr>
        <w:t>иж</w:t>
      </w:r>
      <w:r>
        <w:rPr>
          <w:rFonts w:ascii="Times New Roman" w:eastAsia="Times New Roman" w:hAnsi="Times New Roman" w:cs="Times New Roman"/>
          <w:sz w:val="28"/>
          <w:szCs w:val="28"/>
        </w:rPr>
        <w:t xml:space="preserve">ена здатність до навчання; відлюдкуватість, уникнення спілкування; </w:t>
      </w:r>
    </w:p>
    <w:p w14:paraId="2E0C7CFE" w14:textId="77777777" w:rsidR="008B077D" w:rsidRDefault="008B077D" w:rsidP="008B077D">
      <w:pPr>
        <w:widowControl w:val="0"/>
        <w:pBdr>
          <w:top w:val="nil"/>
          <w:left w:val="nil"/>
          <w:bottom w:val="nil"/>
          <w:right w:val="nil"/>
          <w:between w:val="nil"/>
        </w:pBdr>
        <w:ind w:left="-120" w:right="-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ізоляція, виключення з групи, небажання інших учасників освітнього процесу спілкуватися; </w:t>
      </w:r>
    </w:p>
    <w:p w14:paraId="5B638C6A" w14:textId="3023D765" w:rsidR="008B077D" w:rsidRDefault="008B077D" w:rsidP="008B077D">
      <w:pPr>
        <w:widowControl w:val="0"/>
        <w:pBdr>
          <w:top w:val="nil"/>
          <w:left w:val="nil"/>
          <w:bottom w:val="nil"/>
          <w:right w:val="nil"/>
          <w:between w:val="nil"/>
        </w:pBdr>
        <w:ind w:left="-120" w:right="-3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занижена самооцінка, наявність почуття провини; </w:t>
      </w:r>
    </w:p>
    <w:p w14:paraId="150EB32D" w14:textId="1A9DFBB5" w:rsidR="008B077D" w:rsidRDefault="008B077D" w:rsidP="008B077D">
      <w:pPr>
        <w:widowControl w:val="0"/>
        <w:pBdr>
          <w:top w:val="nil"/>
          <w:left w:val="nil"/>
          <w:bottom w:val="nil"/>
          <w:right w:val="nil"/>
          <w:between w:val="nil"/>
        </w:pBdr>
        <w:ind w:left="-91" w:right="-3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w:t>
      </w:r>
      <w:r>
        <w:rPr>
          <w:rFonts w:ascii="Times New Roman" w:eastAsia="Times New Roman" w:hAnsi="Times New Roman" w:cs="Times New Roman"/>
          <w:sz w:val="28"/>
          <w:szCs w:val="28"/>
        </w:rPr>
        <w:t xml:space="preserve">поява швидкої втомлюваності, зниженої спроможності до концентрації уваги; </w:t>
      </w:r>
    </w:p>
    <w:p w14:paraId="69736855" w14:textId="77777777" w:rsidR="008B077D" w:rsidRDefault="008B077D" w:rsidP="008B077D">
      <w:pPr>
        <w:widowControl w:val="0"/>
        <w:pBdr>
          <w:top w:val="nil"/>
          <w:left w:val="nil"/>
          <w:bottom w:val="nil"/>
          <w:right w:val="nil"/>
          <w:between w:val="nil"/>
        </w:pBdr>
        <w:ind w:left="48" w:right="2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демонстрація страху перед появоно інших учасників освітнього процесу; </w:t>
      </w:r>
    </w:p>
    <w:p w14:paraId="37DC31DD" w14:textId="77777777" w:rsidR="008B077D" w:rsidRDefault="008B077D" w:rsidP="008B077D">
      <w:pPr>
        <w:widowControl w:val="0"/>
        <w:pBdr>
          <w:top w:val="nil"/>
          <w:left w:val="nil"/>
          <w:bottom w:val="nil"/>
          <w:right w:val="nil"/>
          <w:between w:val="nil"/>
        </w:pBdr>
        <w:ind w:left="48" w:right="2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схильність до пропуску навчальних занять; </w:t>
      </w:r>
    </w:p>
    <w:p w14:paraId="6F4EA76C" w14:textId="77777777" w:rsidR="008B077D" w:rsidRDefault="008B077D" w:rsidP="008B077D">
      <w:pPr>
        <w:widowControl w:val="0"/>
        <w:pBdr>
          <w:top w:val="nil"/>
          <w:left w:val="nil"/>
          <w:bottom w:val="nil"/>
          <w:right w:val="nil"/>
          <w:between w:val="nil"/>
        </w:pBdr>
        <w:ind w:left="48" w:right="2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відмова відвідувати заклад освіти з посиланням на погане самопочуття; </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депресивні стани; аутоагресія (самоушкодження);</w:t>
      </w:r>
    </w:p>
    <w:p w14:paraId="42A2F49C" w14:textId="3779D6EA" w:rsidR="008B077D" w:rsidRPr="008B077D" w:rsidRDefault="008B077D" w:rsidP="008B077D">
      <w:pPr>
        <w:widowControl w:val="0"/>
        <w:pBdr>
          <w:top w:val="nil"/>
          <w:left w:val="nil"/>
          <w:bottom w:val="nil"/>
          <w:right w:val="nil"/>
          <w:between w:val="nil"/>
        </w:pBdr>
        <w:ind w:left="48" w:right="29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суїцидальні прояви; </w:t>
      </w:r>
    </w:p>
    <w:p w14:paraId="008EE602" w14:textId="5836B270" w:rsidR="008B077D" w:rsidRDefault="008B077D" w:rsidP="008B077D">
      <w:pPr>
        <w:widowControl w:val="0"/>
        <w:pBdr>
          <w:top w:val="nil"/>
          <w:left w:val="nil"/>
          <w:bottom w:val="nil"/>
          <w:right w:val="nil"/>
          <w:between w:val="nil"/>
        </w:pBdr>
        <w:ind w:left="43" w:right="-5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явні фізичні ушкодження та (або) ознаки поганого самопочуття (нудота, головний біль, кволість тощо); </w:t>
      </w:r>
    </w:p>
    <w:p w14:paraId="051A8C55" w14:textId="45684DF3" w:rsidR="008B077D" w:rsidRDefault="008B077D" w:rsidP="008B077D">
      <w:pPr>
        <w:widowControl w:val="0"/>
        <w:pBdr>
          <w:top w:val="nil"/>
          <w:left w:val="nil"/>
          <w:bottom w:val="nil"/>
          <w:right w:val="nil"/>
          <w:between w:val="nil"/>
        </w:pBdr>
        <w:ind w:right="19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намагання приховати травми та обставини їх отримання; </w:t>
      </w:r>
    </w:p>
    <w:p w14:paraId="6176E935" w14:textId="77777777" w:rsidR="008B077D" w:rsidRDefault="008B077D" w:rsidP="008B077D">
      <w:pPr>
        <w:widowControl w:val="0"/>
        <w:pBdr>
          <w:top w:val="nil"/>
          <w:left w:val="nil"/>
          <w:bottom w:val="nil"/>
          <w:right w:val="nil"/>
          <w:between w:val="nil"/>
        </w:pBdr>
        <w:ind w:left="14" w:right="-4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скарги дитини на біль та (або) погане самопочуття;</w:t>
      </w:r>
    </w:p>
    <w:p w14:paraId="5808DB7C" w14:textId="77777777" w:rsidR="008B077D" w:rsidRDefault="008B077D" w:rsidP="008B077D">
      <w:pPr>
        <w:widowControl w:val="0"/>
        <w:pBdr>
          <w:top w:val="nil"/>
          <w:left w:val="nil"/>
          <w:bottom w:val="nil"/>
          <w:right w:val="nil"/>
          <w:between w:val="nil"/>
        </w:pBdr>
        <w:ind w:left="14" w:right="-4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пошкодження чи зникнення особистих речей; </w:t>
      </w:r>
    </w:p>
    <w:p w14:paraId="24C340E4" w14:textId="77777777" w:rsidR="008B077D" w:rsidRDefault="008B077D" w:rsidP="008B077D">
      <w:pPr>
        <w:widowControl w:val="0"/>
        <w:pBdr>
          <w:top w:val="nil"/>
          <w:left w:val="nil"/>
          <w:bottom w:val="nil"/>
          <w:right w:val="nil"/>
          <w:between w:val="nil"/>
        </w:pBdr>
        <w:ind w:left="14" w:right="-4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вимагання особистих речей, які, грошей; </w:t>
      </w:r>
    </w:p>
    <w:p w14:paraId="668655CB" w14:textId="719D4364" w:rsidR="008B077D" w:rsidRDefault="008B077D" w:rsidP="008B077D">
      <w:pPr>
        <w:widowControl w:val="0"/>
        <w:pBdr>
          <w:top w:val="nil"/>
          <w:left w:val="nil"/>
          <w:bottom w:val="nil"/>
          <w:right w:val="nil"/>
          <w:between w:val="nil"/>
        </w:pBdr>
        <w:ind w:left="14" w:right="-4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 </w:t>
      </w:r>
    </w:p>
    <w:p w14:paraId="4A964BEF" w14:textId="50C7B75D" w:rsidR="008B077D" w:rsidRDefault="008B077D" w:rsidP="008B077D">
      <w:pPr>
        <w:widowControl w:val="0"/>
        <w:pBdr>
          <w:top w:val="nil"/>
          <w:left w:val="nil"/>
          <w:bottom w:val="nil"/>
          <w:right w:val="nil"/>
          <w:between w:val="nil"/>
        </w:pBdr>
        <w:ind w:right="-4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наявність фото-, відео- та аудіоматеріалів фізичних або психологічних знущань, сексуального (інтимного) змісту; </w:t>
      </w:r>
    </w:p>
    <w:p w14:paraId="02EBDBBB" w14:textId="18D247EC" w:rsidR="008B077D" w:rsidRDefault="008B077D" w:rsidP="008B077D">
      <w:pPr>
        <w:widowControl w:val="0"/>
        <w:pBdr>
          <w:top w:val="nil"/>
          <w:left w:val="nil"/>
          <w:bottom w:val="nil"/>
          <w:right w:val="nil"/>
          <w:between w:val="nil"/>
        </w:pBdr>
        <w:ind w:right="6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наявні пошкодження або зникнення майна та (або) особистих речей. </w:t>
      </w:r>
    </w:p>
    <w:p w14:paraId="2D59487C" w14:textId="77777777" w:rsidR="008B077D" w:rsidRDefault="008B077D" w:rsidP="008B077D">
      <w:pPr>
        <w:widowControl w:val="0"/>
        <w:pBdr>
          <w:top w:val="nil"/>
          <w:left w:val="nil"/>
          <w:bottom w:val="nil"/>
          <w:right w:val="nil"/>
          <w:between w:val="nil"/>
        </w:pBdr>
        <w:ind w:left="-24" w:right="-460" w:firstLine="53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Варто наголосити, що окреслені прояви можуть бути підставою для підозри випадку булінгу (цькування) та слугують додатковим маркером для вчасного виявлення булінгу (нацькування). Керівнику закладу освіти варто ознайомити учасників освітнього процесу з цих переліком проявів та наголосити на доцільності вчасно реагувати, не ігнорувати та  повідомити про можливі наслідки ігнорування, а також звернути увагу на їхній обов'язок повідомляти суб'єктів реагування на випадки про свої підозри, зокрема керівника закладу освіти. Цей перелік проявів не є вичерпним та може свідчити не лише про наявність випадків булінгу (цькування), а й про інші прояви насильства. </w:t>
      </w:r>
    </w:p>
    <w:p w14:paraId="553E95B0" w14:textId="77777777" w:rsidR="008B077D" w:rsidRDefault="008B077D" w:rsidP="008B077D">
      <w:pPr>
        <w:widowControl w:val="0"/>
        <w:pBdr>
          <w:top w:val="nil"/>
          <w:left w:val="nil"/>
          <w:bottom w:val="nil"/>
          <w:right w:val="nil"/>
          <w:between w:val="nil"/>
        </w:pBdr>
        <w:ind w:left="-24" w:right="-460" w:firstLine="5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До булінгу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 </w:t>
      </w:r>
    </w:p>
    <w:p w14:paraId="5D016D35" w14:textId="77777777" w:rsidR="008B077D" w:rsidRDefault="008B077D" w:rsidP="008B077D">
      <w:pPr>
        <w:widowControl w:val="0"/>
        <w:pBdr>
          <w:top w:val="nil"/>
          <w:left w:val="nil"/>
          <w:bottom w:val="nil"/>
          <w:right w:val="nil"/>
          <w:between w:val="nil"/>
        </w:pBdr>
        <w:ind w:left="-48" w:right="-403" w:firstLine="62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Окрім визначених місць, де можуть траплятися випадки булінгу (цькування). випадки булінгу (цькування) між учасниками освітнього процесу, які мали місце в закладі освіти, можуть мати місце за освітнім процесом в інших місцях, зокрема, на прилеглих до закладу освіти територіях, в мережі Інтернет </w:t>
      </w:r>
      <w:r>
        <w:rPr>
          <w:rFonts w:ascii="Times New Roman" w:eastAsia="Times New Roman" w:hAnsi="Times New Roman" w:cs="Times New Roman"/>
          <w:i/>
          <w:sz w:val="28"/>
          <w:szCs w:val="28"/>
        </w:rPr>
        <w:lastRenderedPageBreak/>
        <w:t xml:space="preserve">тощо. Повноваження виявлення і реагування на такі випадки у встановлений законодавством та цим Порядком спосіб відносяться до компетенції суб'єктів реагування, визначених п. 5 цього Порядку. </w:t>
      </w:r>
    </w:p>
    <w:p w14:paraId="1AC77627" w14:textId="77777777" w:rsidR="008B077D" w:rsidRDefault="008B077D" w:rsidP="008B077D">
      <w:pPr>
        <w:widowControl w:val="0"/>
        <w:pBdr>
          <w:top w:val="nil"/>
          <w:left w:val="nil"/>
          <w:bottom w:val="nil"/>
          <w:right w:val="nil"/>
          <w:between w:val="nil"/>
        </w:pBdr>
        <w:ind w:left="-48" w:right="-388" w:firstLine="5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 </w:t>
      </w:r>
    </w:p>
    <w:p w14:paraId="710C7F38" w14:textId="77777777" w:rsidR="008B077D" w:rsidRDefault="008B077D" w:rsidP="008B077D">
      <w:pPr>
        <w:widowControl w:val="0"/>
        <w:pBdr>
          <w:top w:val="nil"/>
          <w:left w:val="nil"/>
          <w:bottom w:val="nil"/>
          <w:right w:val="nil"/>
          <w:between w:val="nil"/>
        </w:pBdr>
        <w:ind w:left="-48" w:right="-374"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умисне позбавлення їжі, одягу, коштів, документів, іншого майна або можливості користуватися ними, перешкоджання в отриманні освітніх послуг, </w:t>
      </w:r>
    </w:p>
    <w:p w14:paraId="07798B5F" w14:textId="77777777" w:rsidR="008B077D" w:rsidRDefault="008B077D" w:rsidP="008B077D">
      <w:pPr>
        <w:widowControl w:val="0"/>
        <w:pBdr>
          <w:top w:val="nil"/>
          <w:left w:val="nil"/>
          <w:bottom w:val="nil"/>
          <w:right w:val="nil"/>
          <w:between w:val="nil"/>
        </w:pBdr>
        <w:spacing w:before="158"/>
        <w:ind w:left="-9" w:right="-398"/>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примушування до праці та інші правопорушення економічного характер</w:t>
      </w:r>
      <w:r>
        <w:rPr>
          <w:rFonts w:ascii="Times New Roman" w:eastAsia="Times New Roman" w:hAnsi="Times New Roman" w:cs="Times New Roman"/>
          <w:i/>
          <w:sz w:val="28"/>
          <w:szCs w:val="28"/>
        </w:rPr>
        <w:t xml:space="preserve">у (ознаки економічного насильства); </w:t>
      </w:r>
    </w:p>
    <w:p w14:paraId="5CE47116" w14:textId="77777777" w:rsidR="008B077D" w:rsidRDefault="008B077D" w:rsidP="008B077D">
      <w:pPr>
        <w:widowControl w:val="0"/>
        <w:pBdr>
          <w:top w:val="nil"/>
          <w:left w:val="nil"/>
          <w:bottom w:val="nil"/>
          <w:right w:val="nil"/>
          <w:between w:val="nil"/>
        </w:pBdr>
        <w:spacing w:before="14"/>
        <w:ind w:left="-33" w:right="-427" w:firstLine="561"/>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словесні образи, погрози, у тому числі щодо третіх осіб, приниження, переслідування, залякування, інші діяння, спрямовані на обмеження волевиявлення особи </w:t>
      </w:r>
      <w:r>
        <w:rPr>
          <w:rFonts w:ascii="Times New Roman" w:eastAsia="Times New Roman" w:hAnsi="Times New Roman" w:cs="Times New Roman"/>
          <w:i/>
          <w:sz w:val="28"/>
          <w:szCs w:val="28"/>
        </w:rPr>
        <w:t xml:space="preserve">(ознаки психологічного насильства); </w:t>
      </w:r>
    </w:p>
    <w:p w14:paraId="42D32DF6" w14:textId="77777777" w:rsidR="008B077D" w:rsidRDefault="008B077D" w:rsidP="008B077D">
      <w:pPr>
        <w:widowControl w:val="0"/>
        <w:pBdr>
          <w:top w:val="nil"/>
          <w:left w:val="nil"/>
          <w:bottom w:val="nil"/>
          <w:right w:val="nil"/>
          <w:between w:val="nil"/>
        </w:pBdr>
        <w:ind w:left="-38" w:right="-393" w:firstLine="561"/>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 </w:t>
      </w:r>
      <w:r>
        <w:rPr>
          <w:rFonts w:ascii="Times New Roman" w:eastAsia="Times New Roman" w:hAnsi="Times New Roman" w:cs="Times New Roman"/>
          <w:i/>
          <w:sz w:val="28"/>
          <w:szCs w:val="28"/>
        </w:rPr>
        <w:t xml:space="preserve">(ознаки сексуального насильства); </w:t>
      </w:r>
    </w:p>
    <w:p w14:paraId="3A970F75" w14:textId="77777777" w:rsidR="008B077D" w:rsidRDefault="008B077D" w:rsidP="008B077D">
      <w:pPr>
        <w:widowControl w:val="0"/>
        <w:pBdr>
          <w:top w:val="nil"/>
          <w:left w:val="nil"/>
          <w:bottom w:val="nil"/>
          <w:right w:val="nil"/>
          <w:between w:val="nil"/>
        </w:pBdr>
        <w:ind w:left="-38" w:right="-388"/>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будь-яка форма небажаної фізичної поведінки, зокрема лягти, стусани, штовхання, щипання, шмагання, кусання, завдання ударів </w:t>
      </w:r>
      <w:r>
        <w:rPr>
          <w:rFonts w:ascii="Times New Roman" w:eastAsia="Times New Roman" w:hAnsi="Times New Roman" w:cs="Times New Roman"/>
          <w:i/>
          <w:sz w:val="28"/>
          <w:szCs w:val="28"/>
        </w:rPr>
        <w:t xml:space="preserve">(ознаки фізичного насильства); </w:t>
      </w:r>
    </w:p>
    <w:p w14:paraId="5038D438" w14:textId="77777777" w:rsidR="008B077D" w:rsidRDefault="008B077D" w:rsidP="008B077D">
      <w:pPr>
        <w:widowControl w:val="0"/>
        <w:pBdr>
          <w:top w:val="nil"/>
          <w:left w:val="nil"/>
          <w:bottom w:val="nil"/>
          <w:right w:val="nil"/>
          <w:between w:val="nil"/>
        </w:pBdr>
        <w:spacing w:before="38"/>
        <w:ind w:left="441" w:right="28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інші правопорушення насильницького характеру. </w:t>
      </w:r>
    </w:p>
    <w:p w14:paraId="2F324495" w14:textId="77777777" w:rsidR="008B077D" w:rsidRDefault="008B077D" w:rsidP="008B077D">
      <w:pPr>
        <w:widowControl w:val="0"/>
        <w:pBdr>
          <w:top w:val="nil"/>
          <w:left w:val="nil"/>
          <w:bottom w:val="nil"/>
          <w:right w:val="nil"/>
          <w:between w:val="nil"/>
        </w:pBdr>
        <w:ind w:left="-71" w:right="-369" w:firstLine="628"/>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Звертаємо увагу, що розкриті в </w:t>
      </w:r>
      <w:r>
        <w:rPr>
          <w:rFonts w:ascii="Times New Roman" w:eastAsia="Times New Roman" w:hAnsi="Times New Roman" w:cs="Times New Roman"/>
          <w:sz w:val="28"/>
          <w:szCs w:val="28"/>
        </w:rPr>
        <w:t>п</w:t>
      </w:r>
      <w:r>
        <w:rPr>
          <w:rFonts w:ascii="Times New Roman" w:eastAsia="Times New Roman" w:hAnsi="Times New Roman" w:cs="Times New Roman"/>
          <w:i/>
          <w:sz w:val="28"/>
          <w:szCs w:val="28"/>
        </w:rPr>
        <w:t xml:space="preserve">. 4 ознаки булінгу (цькування) містять, зокрема, ті, що наведені в Законі та розширено ознаками фізичного, психологічного, економічного, сексуального насильства. Варто також зазначити, по психологічне насильство часто монсе поєднуватись з іншими формами насильства. У разі наявності відповідних ознак булінгу (нацькування) діти, батьки, педагогічні або інші працівники закладів освіти зобов'язані повідомити керівника закладу освіти або інших суб'єктів реагування, наведених в п. 5. Цей перелік ознак не є вичерпним та може включати і інші прояви насильницького характеру, які також не варто ігнорувати. </w:t>
      </w:r>
    </w:p>
    <w:p w14:paraId="367DD29C" w14:textId="77777777" w:rsidR="008B077D" w:rsidRDefault="008B077D" w:rsidP="008B077D">
      <w:pPr>
        <w:widowControl w:val="0"/>
        <w:pBdr>
          <w:top w:val="nil"/>
          <w:left w:val="nil"/>
          <w:bottom w:val="nil"/>
          <w:right w:val="nil"/>
          <w:between w:val="nil"/>
        </w:pBdr>
        <w:spacing w:before="43"/>
        <w:ind w:left="-71" w:right="-345" w:firstLine="652"/>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Варто також наголосити, що булінг (цькуванням) ввагіcається діяння, при вчиненні якого не обов'язково повторюється одна форма насильства (лище фізичне чи лице психологічне насильство). Вони можуть бути змішаними (при систематичності), проте відбуватися щоразу по відношенню до однієї і тієї ж особи. </w:t>
      </w:r>
    </w:p>
    <w:p w14:paraId="14057348" w14:textId="77777777" w:rsidR="008B077D" w:rsidRDefault="008B077D" w:rsidP="008B077D">
      <w:pPr>
        <w:widowControl w:val="0"/>
        <w:pBdr>
          <w:top w:val="nil"/>
          <w:left w:val="nil"/>
          <w:bottom w:val="nil"/>
          <w:right w:val="nil"/>
          <w:between w:val="nil"/>
        </w:pBdr>
        <w:spacing w:before="345"/>
        <w:ind w:left="-100" w:right="-311" w:firstLine="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Суб'єктами реагування у разі настання випадку булінгу (цькування) в </w:t>
      </w:r>
      <w:r>
        <w:rPr>
          <w:rFonts w:ascii="Times New Roman" w:eastAsia="Times New Roman" w:hAnsi="Times New Roman" w:cs="Times New Roman"/>
          <w:sz w:val="28"/>
          <w:szCs w:val="28"/>
        </w:rPr>
        <w:lastRenderedPageBreak/>
        <w:t xml:space="preserve">закладах освіти (далі - суб'єкти реагування) є: </w:t>
      </w:r>
    </w:p>
    <w:p w14:paraId="30244502" w14:textId="77777777" w:rsidR="008B077D" w:rsidRDefault="008B077D" w:rsidP="008B077D">
      <w:pPr>
        <w:widowControl w:val="0"/>
        <w:pBdr>
          <w:top w:val="nil"/>
          <w:left w:val="nil"/>
          <w:bottom w:val="nil"/>
          <w:right w:val="nil"/>
          <w:between w:val="nil"/>
        </w:pBdr>
        <w:ind w:left="431" w:right="26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служба освітнього омбудсмена; служби у справах дітей; центри соціальних служб для сім'ї, дітей та молоді; органи місцевого самоврядування; керівники та інші працівники закладів освіти; </w:t>
      </w:r>
    </w:p>
    <w:p w14:paraId="7A782BE0" w14:textId="77777777" w:rsidR="008B077D" w:rsidRDefault="008B077D" w:rsidP="008B077D">
      <w:pPr>
        <w:widowControl w:val="0"/>
        <w:pBdr>
          <w:top w:val="nil"/>
          <w:left w:val="nil"/>
          <w:bottom w:val="nil"/>
          <w:right w:val="nil"/>
          <w:between w:val="nil"/>
        </w:pBdr>
        <w:ind w:left="-100" w:right="-331" w:firstLine="6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засновник (засновники) закладів освіти або уповноважений ним (ними) орган; </w:t>
      </w:r>
    </w:p>
    <w:p w14:paraId="6F381B85" w14:textId="77777777" w:rsidR="008B077D" w:rsidRDefault="008B077D" w:rsidP="008B077D">
      <w:pPr>
        <w:widowControl w:val="0"/>
        <w:pBdr>
          <w:top w:val="nil"/>
          <w:left w:val="nil"/>
          <w:bottom w:val="nil"/>
          <w:right w:val="nil"/>
          <w:between w:val="nil"/>
        </w:pBdr>
        <w:ind w:left="451" w:right="11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територіальні органи (підрозділи) Національної поліції України. </w:t>
      </w:r>
    </w:p>
    <w:p w14:paraId="5684B3ED" w14:textId="77777777" w:rsidR="008B077D" w:rsidRDefault="008B077D" w:rsidP="008B077D">
      <w:pPr>
        <w:widowControl w:val="0"/>
        <w:pBdr>
          <w:top w:val="nil"/>
          <w:left w:val="nil"/>
          <w:bottom w:val="nil"/>
          <w:right w:val="nil"/>
          <w:between w:val="nil"/>
        </w:pBdr>
        <w:ind w:left="-67" w:right="-335"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Суб'єкти реагування на випадки булінгу (цькування) в закладах освіти діють в межах повноважень, передбачених законодавством та цим Порядком. </w:t>
      </w:r>
    </w:p>
    <w:p w14:paraId="3BF7799E" w14:textId="61FB73DB" w:rsidR="008B077D" w:rsidRDefault="008B077D" w:rsidP="008B077D">
      <w:pPr>
        <w:widowControl w:val="0"/>
        <w:pBdr>
          <w:top w:val="nil"/>
          <w:left w:val="nil"/>
          <w:bottom w:val="nil"/>
          <w:right w:val="nil"/>
          <w:between w:val="nil"/>
        </w:pBdr>
        <w:ind w:left="-95" w:right="-321" w:firstLine="633"/>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Послідовність суб'єктів, зазначених у п. 5 розділу І цього порядку, є випадкового та не відобра</w:t>
      </w:r>
      <w:r w:rsidR="00BB312C">
        <w:rPr>
          <w:rFonts w:ascii="Times New Roman" w:eastAsia="Times New Roman" w:hAnsi="Times New Roman" w:cs="Times New Roman"/>
          <w:i/>
          <w:sz w:val="28"/>
          <w:szCs w:val="28"/>
          <w:lang w:val="uk-UA"/>
        </w:rPr>
        <w:t>ж</w:t>
      </w:r>
      <w:r>
        <w:rPr>
          <w:rFonts w:ascii="Times New Roman" w:eastAsia="Times New Roman" w:hAnsi="Times New Roman" w:cs="Times New Roman"/>
          <w:i/>
          <w:sz w:val="28"/>
          <w:szCs w:val="28"/>
        </w:rPr>
        <w:t xml:space="preserve">сає пріоритетність або послідовність здійснення повідомлення про випадок булінгу. </w:t>
      </w:r>
    </w:p>
    <w:p w14:paraId="2001792B" w14:textId="5C79EAC9" w:rsidR="008B077D" w:rsidRDefault="008B077D" w:rsidP="008B077D">
      <w:pPr>
        <w:widowControl w:val="0"/>
        <w:pBdr>
          <w:top w:val="nil"/>
          <w:left w:val="nil"/>
          <w:bottom w:val="nil"/>
          <w:right w:val="nil"/>
          <w:between w:val="nil"/>
        </w:pBdr>
        <w:spacing w:before="124"/>
        <w:ind w:left="95" w:right="-556" w:firstLine="4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Суб'єкти реагування здійсн</w:t>
      </w:r>
      <w:r w:rsidR="00BB312C">
        <w:rPr>
          <w:rFonts w:ascii="Times New Roman" w:eastAsia="Times New Roman" w:hAnsi="Times New Roman" w:cs="Times New Roman"/>
          <w:sz w:val="28"/>
          <w:szCs w:val="28"/>
          <w:lang w:val="uk-UA"/>
        </w:rPr>
        <w:t>юю</w:t>
      </w:r>
      <w:r>
        <w:rPr>
          <w:rFonts w:ascii="Times New Roman" w:eastAsia="Times New Roman" w:hAnsi="Times New Roman" w:cs="Times New Roman"/>
          <w:sz w:val="28"/>
          <w:szCs w:val="28"/>
        </w:rPr>
        <w:t xml:space="preserve">ть заходи, спрямовані на запобігання та протидію булінгу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 </w:t>
      </w:r>
    </w:p>
    <w:p w14:paraId="73922722" w14:textId="77777777" w:rsidR="008B077D" w:rsidRDefault="008B077D" w:rsidP="008B077D">
      <w:pPr>
        <w:widowControl w:val="0"/>
        <w:pBdr>
          <w:top w:val="nil"/>
          <w:left w:val="nil"/>
          <w:bottom w:val="nil"/>
          <w:right w:val="nil"/>
          <w:between w:val="nil"/>
        </w:pBdr>
        <w:ind w:left="33" w:right="-503" w:firstLine="54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План заходів, спрямованих на запобігання та протидію булінгу (цькуванню) в закладах освіти, затверджений наказом Міністерства освіти і науки України від 26.02.2020 No 293 (зі змінами), спрямований на уморядкування міжвідомчої координації дій суб'єктів реагування, встановлює регулярність інформаційного обміну, узгодəсення завдань та дій щодо запобігання та протидії булінгу (цькування) мінс суб'єктами реагування на території відповідної адміністративно-територіальної одиниці. </w:t>
      </w:r>
    </w:p>
    <w:p w14:paraId="48F42C40" w14:textId="77777777" w:rsidR="008B077D" w:rsidRDefault="008B077D" w:rsidP="008B077D">
      <w:pPr>
        <w:widowControl w:val="0"/>
        <w:pBdr>
          <w:top w:val="nil"/>
          <w:left w:val="nil"/>
          <w:bottom w:val="nil"/>
          <w:right w:val="nil"/>
          <w:between w:val="nil"/>
        </w:pBdr>
        <w:spacing w:before="225"/>
        <w:ind w:left="33" w:right="-470" w:firstLine="52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7</w:t>
      </w:r>
      <w:r>
        <w:rPr>
          <w:rFonts w:ascii="Times New Roman" w:eastAsia="Times New Roman" w:hAnsi="Times New Roman" w:cs="Times New Roman"/>
          <w:sz w:val="28"/>
          <w:szCs w:val="28"/>
        </w:rPr>
        <w:t xml:space="preserve">. Педагогічні (науково-педагогічні) та інші працівники закладу освіти у разі, якщо вони виявляють булінг (цькування), зобов'язані: </w:t>
      </w:r>
    </w:p>
    <w:p w14:paraId="5A52787A" w14:textId="77777777" w:rsidR="008B077D" w:rsidRDefault="008B077D" w:rsidP="008B077D">
      <w:pPr>
        <w:widowControl w:val="0"/>
        <w:pBdr>
          <w:top w:val="nil"/>
          <w:left w:val="nil"/>
          <w:bottom w:val="nil"/>
          <w:right w:val="nil"/>
          <w:between w:val="nil"/>
        </w:pBdr>
        <w:ind w:left="576" w:right="8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Вжити невідкладних заходів для припинення небезпечного впливу; </w:t>
      </w:r>
    </w:p>
    <w:p w14:paraId="28E4C95F" w14:textId="77777777" w:rsidR="008B077D" w:rsidRDefault="008B077D" w:rsidP="008B077D">
      <w:pPr>
        <w:widowControl w:val="0"/>
        <w:pBdr>
          <w:top w:val="nil"/>
          <w:left w:val="nil"/>
          <w:bottom w:val="nil"/>
          <w:right w:val="nil"/>
          <w:between w:val="nil"/>
        </w:pBdr>
        <w:ind w:left="14" w:right="-470" w:firstLine="5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потреби надати домедичну допомогу та викликати бригаду екстреної (швидкої) медичної допомоги для надання екстреної медичної допомоги; </w:t>
      </w:r>
    </w:p>
    <w:p w14:paraId="6C0E0E50" w14:textId="77777777" w:rsidR="008B077D" w:rsidRDefault="008B077D" w:rsidP="008B077D">
      <w:pPr>
        <w:widowControl w:val="0"/>
        <w:pBdr>
          <w:top w:val="nil"/>
          <w:left w:val="nil"/>
          <w:bottom w:val="nil"/>
          <w:right w:val="nil"/>
          <w:between w:val="nil"/>
        </w:pBdr>
        <w:ind w:left="9" w:right="-436" w:firstLine="5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звернутись (за потреби) до територіальних органів (підрозділів) національної поліції України; </w:t>
      </w:r>
    </w:p>
    <w:p w14:paraId="7247F3DE" w14:textId="77777777" w:rsidR="008B077D" w:rsidRDefault="008B077D" w:rsidP="008B077D">
      <w:pPr>
        <w:widowControl w:val="0"/>
        <w:pBdr>
          <w:top w:val="nil"/>
          <w:left w:val="nil"/>
          <w:bottom w:val="nil"/>
          <w:right w:val="nil"/>
          <w:between w:val="nil"/>
        </w:pBdr>
        <w:spacing w:before="38"/>
        <w:ind w:left="-38" w:right="-422" w:firstLine="6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 </w:t>
      </w:r>
    </w:p>
    <w:p w14:paraId="6531863A" w14:textId="4B422497" w:rsidR="00E82EE3" w:rsidRDefault="008B077D" w:rsidP="008B077D">
      <w:pPr>
        <w:jc w:val="both"/>
      </w:pPr>
      <w:r>
        <w:rPr>
          <w:rFonts w:ascii="Times New Roman" w:eastAsia="Times New Roman" w:hAnsi="Times New Roman" w:cs="Times New Roman"/>
          <w:i/>
          <w:sz w:val="28"/>
          <w:szCs w:val="28"/>
        </w:rPr>
        <w:t xml:space="preserve">Звертаємо увагу, що невідкладне припинення небезпечного впливу під час випадку булінгу (цькування) є правом та обов'язком корисного учасника освітнього процесу. Варто пам'ятати, що у разі застосування заходів щодо </w:t>
      </w:r>
      <w:r>
        <w:rPr>
          <w:rFonts w:ascii="Times New Roman" w:eastAsia="Times New Roman" w:hAnsi="Times New Roman" w:cs="Times New Roman"/>
          <w:i/>
          <w:sz w:val="28"/>
          <w:szCs w:val="28"/>
        </w:rPr>
        <w:lastRenderedPageBreak/>
        <w:t xml:space="preserve">припинення (виручання, відвернення, перешкоджання, реагування такого впливу слід дотримуватись принципу «пропорційності»: </w:t>
      </w:r>
      <w:r w:rsidR="00BB312C">
        <w:rPr>
          <w:rFonts w:ascii="Times New Roman" w:eastAsia="Times New Roman" w:hAnsi="Times New Roman" w:cs="Times New Roman"/>
          <w:i/>
          <w:sz w:val="28"/>
          <w:szCs w:val="28"/>
          <w:lang w:val="uk-UA"/>
        </w:rPr>
        <w:t>ш</w:t>
      </w:r>
      <w:r>
        <w:rPr>
          <w:rFonts w:ascii="Times New Roman" w:eastAsia="Times New Roman" w:hAnsi="Times New Roman" w:cs="Times New Roman"/>
          <w:i/>
          <w:sz w:val="28"/>
          <w:szCs w:val="28"/>
        </w:rPr>
        <w:t>кода, як</w:t>
      </w:r>
      <w:r w:rsidR="00BB312C">
        <w:rPr>
          <w:rFonts w:ascii="Times New Roman" w:eastAsia="Times New Roman" w:hAnsi="Times New Roman" w:cs="Times New Roman"/>
          <w:i/>
          <w:sz w:val="28"/>
          <w:szCs w:val="28"/>
          <w:lang w:val="uk-UA"/>
        </w:rPr>
        <w:t>а</w:t>
      </w:r>
      <w:r>
        <w:rPr>
          <w:rFonts w:ascii="Times New Roman" w:eastAsia="Times New Roman" w:hAnsi="Times New Roman" w:cs="Times New Roman"/>
          <w:i/>
          <w:sz w:val="28"/>
          <w:szCs w:val="28"/>
        </w:rPr>
        <w:t xml:space="preserve"> заподіяна у результаті віливу (припинення, відвернення), не повинна перевищувати блага, для захисту якого цей вплив застосований</w:t>
      </w:r>
    </w:p>
    <w:sectPr w:rsidR="00E82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26B"/>
    <w:rsid w:val="008B077D"/>
    <w:rsid w:val="00BB312C"/>
    <w:rsid w:val="00E82EE3"/>
    <w:rsid w:val="00F6226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6567"/>
  <w15:chartTrackingRefBased/>
  <w15:docId w15:val="{C9B6CDA7-D5BE-4C6A-B0B4-C73E635A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77D"/>
    <w:pPr>
      <w:spacing w:after="0" w:line="276" w:lineRule="auto"/>
    </w:pPr>
    <w:rPr>
      <w:rFonts w:ascii="Arial" w:eastAsia="Arial" w:hAnsi="Arial" w:cs="Arial"/>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1421</Words>
  <Characters>8101</Characters>
  <Application>Microsoft Office Word</Application>
  <DocSecurity>0</DocSecurity>
  <Lines>67</Lines>
  <Paragraphs>19</Paragraphs>
  <ScaleCrop>false</ScaleCrop>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2020-09-06T17:28:00Z</dcterms:created>
  <dcterms:modified xsi:type="dcterms:W3CDTF">2020-09-06T17:48:00Z</dcterms:modified>
</cp:coreProperties>
</file>